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82" w:rsidRDefault="00905C9D" w:rsidP="00BF6611">
      <w:pPr>
        <w:spacing w:after="120"/>
        <w:jc w:val="center"/>
        <w:rPr>
          <w:rFonts w:ascii="Arial" w:hAnsi="Arial" w:cs="Arial"/>
          <w:sz w:val="24"/>
          <w:szCs w:val="24"/>
          <w:lang w:val="mn-MN"/>
        </w:rPr>
      </w:pPr>
      <w:r w:rsidRPr="00905C9D">
        <w:rPr>
          <w:rFonts w:ascii="Arial" w:hAnsi="Arial" w:cs="Arial"/>
          <w:sz w:val="24"/>
          <w:szCs w:val="24"/>
          <w:lang w:val="mn-MN"/>
        </w:rPr>
        <w:t>ТӨРИЙН ӨМЧИЙН БОДЛОГО, ЗОХИЦУУЛАЛТЫН ГАЗАРТ ИРГЭДЭЭ</w:t>
      </w:r>
      <w:r w:rsidR="006C2CAA">
        <w:rPr>
          <w:rFonts w:ascii="Arial" w:hAnsi="Arial" w:cs="Arial"/>
          <w:sz w:val="24"/>
          <w:szCs w:val="24"/>
          <w:lang w:val="mn-MN"/>
        </w:rPr>
        <w:t>С</w:t>
      </w:r>
      <w:r w:rsidRPr="00905C9D">
        <w:rPr>
          <w:rFonts w:ascii="Arial" w:hAnsi="Arial" w:cs="Arial"/>
          <w:sz w:val="24"/>
          <w:szCs w:val="24"/>
          <w:lang w:val="mn-MN"/>
        </w:rPr>
        <w:t xml:space="preserve"> ИРҮҮЛСЭН ӨРГӨДӨЛ, ГОМДЛЫН </w:t>
      </w:r>
      <w:r>
        <w:rPr>
          <w:rFonts w:ascii="Arial" w:hAnsi="Arial" w:cs="Arial"/>
          <w:sz w:val="24"/>
          <w:szCs w:val="24"/>
          <w:lang w:val="mn-MN"/>
        </w:rPr>
        <w:t>ШИЙДВЭРЛЭЛТИЙН МЭДЭЭ</w:t>
      </w:r>
    </w:p>
    <w:p w:rsidR="00BF6611" w:rsidRDefault="00BF6611" w:rsidP="008C21EB">
      <w:pPr>
        <w:spacing w:after="24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mn-MN"/>
        </w:rPr>
        <w:t>2017 оны 3 дугаар улирлын байдлаар</w:t>
      </w:r>
      <w:r>
        <w:rPr>
          <w:rFonts w:ascii="Arial" w:hAnsi="Arial" w:cs="Arial"/>
          <w:sz w:val="24"/>
          <w:szCs w:val="24"/>
        </w:rPr>
        <w:t>)</w:t>
      </w:r>
    </w:p>
    <w:p w:rsidR="00905C9D" w:rsidRDefault="00905C9D" w:rsidP="00BF6611">
      <w:pPr>
        <w:spacing w:after="12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2017.11.15 </w:t>
      </w:r>
      <w:r w:rsidR="00BF6611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mn-MN"/>
        </w:rPr>
        <w:t>Улаанбаатар хот</w:t>
      </w:r>
    </w:p>
    <w:p w:rsidR="00905C9D" w:rsidRDefault="006C2CAA" w:rsidP="0043214A">
      <w:pPr>
        <w:spacing w:after="120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Иргэдээс төрийн байгууллага, албан тушаалтанд гаргасан өргөдөл, гомдлыг шийдвэрлэх тухай хуулийн дагуу Төрийн өмчийн бодлого, зохицуулалтын газарт </w:t>
      </w:r>
      <w:r w:rsidR="009B4FD4">
        <w:rPr>
          <w:rFonts w:ascii="Arial" w:hAnsi="Arial" w:cs="Arial"/>
          <w:sz w:val="24"/>
          <w:szCs w:val="24"/>
          <w:lang w:val="mn-MN"/>
        </w:rPr>
        <w:t xml:space="preserve">байгууллагын албан хаагчид, </w:t>
      </w:r>
      <w:r>
        <w:rPr>
          <w:rFonts w:ascii="Arial" w:hAnsi="Arial" w:cs="Arial"/>
          <w:sz w:val="24"/>
          <w:szCs w:val="24"/>
          <w:lang w:val="mn-MN"/>
        </w:rPr>
        <w:t>иргэдээс ирүүлсэн өргөдөл, гомдлыг хүлээн авч, бүртгэлд хамруулан, шийдвэрлэх зохион байгуулалтын арга хэмжээ ав</w:t>
      </w:r>
      <w:r w:rsidR="00C142A3">
        <w:rPr>
          <w:rFonts w:ascii="Arial" w:hAnsi="Arial" w:cs="Arial"/>
          <w:sz w:val="24"/>
          <w:szCs w:val="24"/>
          <w:lang w:val="mn-MN"/>
        </w:rPr>
        <w:t>ч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670758">
        <w:rPr>
          <w:rFonts w:ascii="Arial" w:hAnsi="Arial" w:cs="Arial"/>
          <w:sz w:val="24"/>
          <w:szCs w:val="24"/>
          <w:lang w:val="mn-MN"/>
        </w:rPr>
        <w:t xml:space="preserve">ажиллав. </w:t>
      </w:r>
      <w:r w:rsidR="009625A8">
        <w:rPr>
          <w:rFonts w:ascii="Arial" w:hAnsi="Arial" w:cs="Arial"/>
          <w:sz w:val="24"/>
          <w:szCs w:val="24"/>
          <w:lang w:val="mn-MN"/>
        </w:rPr>
        <w:t>И</w:t>
      </w:r>
      <w:r w:rsidR="00670758">
        <w:rPr>
          <w:rFonts w:ascii="Arial" w:hAnsi="Arial" w:cs="Arial"/>
          <w:sz w:val="24"/>
          <w:szCs w:val="24"/>
          <w:lang w:val="mn-MN"/>
        </w:rPr>
        <w:t>рүүлсэн өргөдөл, гомдлыг шийдвэрлэх зохион байгуула</w:t>
      </w:r>
      <w:r w:rsidR="0043214A">
        <w:rPr>
          <w:rFonts w:ascii="Arial" w:hAnsi="Arial" w:cs="Arial"/>
          <w:sz w:val="24"/>
          <w:szCs w:val="24"/>
          <w:lang w:val="mn-MN"/>
        </w:rPr>
        <w:t xml:space="preserve">лтын хүрээнд удирдлагын заалтын дагуу </w:t>
      </w:r>
      <w:r w:rsidR="00670758">
        <w:rPr>
          <w:rFonts w:ascii="Arial" w:hAnsi="Arial" w:cs="Arial"/>
          <w:sz w:val="24"/>
          <w:szCs w:val="24"/>
          <w:lang w:val="mn-MN"/>
        </w:rPr>
        <w:t xml:space="preserve">холбогдох албан </w:t>
      </w:r>
      <w:r w:rsidR="0043214A">
        <w:rPr>
          <w:rFonts w:ascii="Arial" w:hAnsi="Arial" w:cs="Arial"/>
          <w:sz w:val="24"/>
          <w:szCs w:val="24"/>
          <w:lang w:val="mn-MN"/>
        </w:rPr>
        <w:t>хаагчид</w:t>
      </w:r>
      <w:r w:rsidR="00670758">
        <w:rPr>
          <w:rFonts w:ascii="Arial" w:hAnsi="Arial" w:cs="Arial"/>
          <w:sz w:val="24"/>
          <w:szCs w:val="24"/>
          <w:lang w:val="mn-MN"/>
        </w:rPr>
        <w:t xml:space="preserve"> шилжүүлэн шийдвэрлэлтэд нь бүртгэлээр хяналт тавин ажиллав. </w:t>
      </w:r>
    </w:p>
    <w:p w:rsidR="0032627D" w:rsidRDefault="0032627D" w:rsidP="007269A7">
      <w:pPr>
        <w:spacing w:after="120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2017 оны </w:t>
      </w:r>
      <w:r w:rsidR="0043214A">
        <w:rPr>
          <w:rFonts w:ascii="Arial" w:hAnsi="Arial" w:cs="Arial"/>
          <w:sz w:val="24"/>
          <w:szCs w:val="24"/>
          <w:lang w:val="mn-MN"/>
        </w:rPr>
        <w:t>эхний 9 сард</w:t>
      </w:r>
      <w:r>
        <w:rPr>
          <w:rFonts w:ascii="Arial" w:hAnsi="Arial" w:cs="Arial"/>
          <w:sz w:val="24"/>
          <w:szCs w:val="24"/>
          <w:lang w:val="mn-MN"/>
        </w:rPr>
        <w:t xml:space="preserve"> тус байгууллагад нийт 132 өргөдөл, гомдол бичгээр ирүүлснийг бүртгэн авч, холбогдох хэлтсийн албан тушаалтанд удирдлагын заалтаар шилжүү</w:t>
      </w:r>
      <w:r w:rsidR="0019452B">
        <w:rPr>
          <w:rFonts w:ascii="Arial" w:hAnsi="Arial" w:cs="Arial"/>
          <w:sz w:val="24"/>
          <w:szCs w:val="24"/>
          <w:lang w:val="mn-MN"/>
        </w:rPr>
        <w:t>лэн хуулийн хугацаанд шийдвэрлэн, хариу өгч</w:t>
      </w:r>
      <w:r>
        <w:rPr>
          <w:rFonts w:ascii="Arial" w:hAnsi="Arial" w:cs="Arial"/>
          <w:sz w:val="24"/>
          <w:szCs w:val="24"/>
          <w:lang w:val="mn-MN"/>
        </w:rPr>
        <w:t xml:space="preserve"> ажилласан. Нийт өргөдөл, гомдлын 9 буюу 6.8 хувийг 2 </w:t>
      </w:r>
      <w:r w:rsidR="006246D0">
        <w:rPr>
          <w:rFonts w:ascii="Arial" w:hAnsi="Arial" w:cs="Arial"/>
          <w:sz w:val="24"/>
          <w:szCs w:val="24"/>
          <w:lang w:val="mn-MN"/>
        </w:rPr>
        <w:t>болон</w:t>
      </w:r>
      <w:r>
        <w:rPr>
          <w:rFonts w:ascii="Arial" w:hAnsi="Arial" w:cs="Arial"/>
          <w:sz w:val="24"/>
          <w:szCs w:val="24"/>
          <w:lang w:val="mn-MN"/>
        </w:rPr>
        <w:t xml:space="preserve"> түүн</w:t>
      </w:r>
      <w:r w:rsidR="003A27D2">
        <w:rPr>
          <w:rFonts w:ascii="Arial" w:hAnsi="Arial" w:cs="Arial"/>
          <w:sz w:val="24"/>
          <w:szCs w:val="24"/>
          <w:lang w:val="mn-MN"/>
        </w:rPr>
        <w:t>ээс дээш иргэн хамтран гаргасан</w:t>
      </w:r>
      <w:r w:rsidR="006246D0">
        <w:rPr>
          <w:rFonts w:ascii="Arial" w:hAnsi="Arial" w:cs="Arial"/>
          <w:sz w:val="24"/>
          <w:szCs w:val="24"/>
          <w:lang w:val="mn-MN"/>
        </w:rPr>
        <w:t xml:space="preserve"> байгаа бөгөөд</w:t>
      </w:r>
      <w:r w:rsidR="003A27D2">
        <w:rPr>
          <w:rFonts w:ascii="Arial" w:hAnsi="Arial" w:cs="Arial"/>
          <w:sz w:val="24"/>
          <w:szCs w:val="24"/>
          <w:lang w:val="mn-MN"/>
        </w:rPr>
        <w:t xml:space="preserve"> 14 буюу </w:t>
      </w:r>
      <w:bookmarkStart w:id="0" w:name="_GoBack"/>
      <w:bookmarkEnd w:id="0"/>
      <w:r w:rsidR="003A27D2">
        <w:rPr>
          <w:rFonts w:ascii="Arial" w:hAnsi="Arial" w:cs="Arial"/>
          <w:sz w:val="24"/>
          <w:szCs w:val="24"/>
          <w:lang w:val="mn-MN"/>
        </w:rPr>
        <w:t xml:space="preserve">10.6 хувь нь гомдол байна. </w:t>
      </w:r>
    </w:p>
    <w:p w:rsidR="007269A7" w:rsidRDefault="007269A7" w:rsidP="007269A7">
      <w:pPr>
        <w:spacing w:after="120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Өргөдөл</w:t>
      </w:r>
      <w:r w:rsidR="0043214A">
        <w:rPr>
          <w:rFonts w:ascii="Arial" w:hAnsi="Arial" w:cs="Arial"/>
          <w:sz w:val="24"/>
          <w:szCs w:val="24"/>
          <w:lang w:val="mn-MN"/>
        </w:rPr>
        <w:t>,</w:t>
      </w:r>
      <w:r>
        <w:rPr>
          <w:rFonts w:ascii="Arial" w:hAnsi="Arial" w:cs="Arial"/>
          <w:sz w:val="24"/>
          <w:szCs w:val="24"/>
          <w:lang w:val="mn-MN"/>
        </w:rPr>
        <w:t xml:space="preserve"> гомдлын шийдвэрлэлтийн байдлыг авч үзвэл, нийт 132 өргөдөл, гомдлын </w:t>
      </w:r>
      <w:r w:rsidR="004A15F0">
        <w:rPr>
          <w:rFonts w:ascii="Arial" w:hAnsi="Arial" w:cs="Arial"/>
          <w:sz w:val="24"/>
          <w:szCs w:val="24"/>
          <w:lang w:val="mn-MN"/>
        </w:rPr>
        <w:t>107</w:t>
      </w:r>
      <w:r>
        <w:rPr>
          <w:rFonts w:ascii="Arial" w:hAnsi="Arial" w:cs="Arial"/>
          <w:sz w:val="24"/>
          <w:szCs w:val="24"/>
          <w:lang w:val="mn-MN"/>
        </w:rPr>
        <w:t xml:space="preserve"> бу</w:t>
      </w:r>
      <w:r w:rsidR="007876DB">
        <w:rPr>
          <w:rFonts w:ascii="Arial" w:hAnsi="Arial" w:cs="Arial"/>
          <w:sz w:val="24"/>
          <w:szCs w:val="24"/>
          <w:lang w:val="mn-MN"/>
        </w:rPr>
        <w:t xml:space="preserve">юу </w:t>
      </w:r>
      <w:r w:rsidR="0027309C">
        <w:rPr>
          <w:rFonts w:ascii="Arial" w:hAnsi="Arial" w:cs="Arial"/>
          <w:sz w:val="24"/>
          <w:szCs w:val="24"/>
          <w:lang w:val="mn-MN"/>
        </w:rPr>
        <w:t>81.1</w:t>
      </w:r>
      <w:r w:rsidR="007876DB">
        <w:rPr>
          <w:rFonts w:ascii="Arial" w:hAnsi="Arial" w:cs="Arial"/>
          <w:sz w:val="24"/>
          <w:szCs w:val="24"/>
          <w:lang w:val="mn-MN"/>
        </w:rPr>
        <w:t xml:space="preserve"> хувийг шийдв</w:t>
      </w:r>
      <w:r w:rsidR="005260A2">
        <w:rPr>
          <w:rFonts w:ascii="Arial" w:hAnsi="Arial" w:cs="Arial"/>
          <w:sz w:val="24"/>
          <w:szCs w:val="24"/>
          <w:lang w:val="mn-MN"/>
        </w:rPr>
        <w:t>эрлэж, хариу өгсөн</w:t>
      </w:r>
      <w:r w:rsidR="007876DB">
        <w:rPr>
          <w:rFonts w:ascii="Arial" w:hAnsi="Arial" w:cs="Arial"/>
          <w:sz w:val="24"/>
          <w:szCs w:val="24"/>
          <w:lang w:val="mn-MN"/>
        </w:rPr>
        <w:t xml:space="preserve"> </w:t>
      </w:r>
      <w:r w:rsidR="00D52306">
        <w:rPr>
          <w:rFonts w:ascii="Arial" w:hAnsi="Arial" w:cs="Arial"/>
          <w:sz w:val="24"/>
          <w:szCs w:val="24"/>
          <w:lang w:val="mn-MN"/>
        </w:rPr>
        <w:t xml:space="preserve">байна. </w:t>
      </w:r>
      <w:r w:rsidR="00AF2CED">
        <w:rPr>
          <w:rFonts w:ascii="Arial" w:hAnsi="Arial" w:cs="Arial"/>
          <w:sz w:val="24"/>
          <w:szCs w:val="24"/>
          <w:lang w:val="mn-MN"/>
        </w:rPr>
        <w:t>Шийдвэрлэх талаар зохих арга хэмжээ авсан боловч манай байгууллагаас шууд хамаарахгүй</w:t>
      </w:r>
      <w:r w:rsidR="0043214A">
        <w:rPr>
          <w:rFonts w:ascii="Arial" w:hAnsi="Arial" w:cs="Arial"/>
          <w:sz w:val="24"/>
          <w:szCs w:val="24"/>
          <w:lang w:val="mn-MN"/>
        </w:rPr>
        <w:t xml:space="preserve"> шалтгааны</w:t>
      </w:r>
      <w:r w:rsidR="00AF2CED">
        <w:rPr>
          <w:rFonts w:ascii="Arial" w:hAnsi="Arial" w:cs="Arial"/>
          <w:sz w:val="24"/>
          <w:szCs w:val="24"/>
          <w:lang w:val="mn-MN"/>
        </w:rPr>
        <w:t xml:space="preserve"> улмаас бүрэн шийдвэрлээгүй, хүлээгдэж байгаа</w:t>
      </w:r>
      <w:r w:rsidR="005260A2">
        <w:rPr>
          <w:rFonts w:ascii="Arial" w:hAnsi="Arial" w:cs="Arial"/>
          <w:sz w:val="24"/>
          <w:szCs w:val="24"/>
          <w:lang w:val="mn-MN"/>
        </w:rPr>
        <w:t xml:space="preserve"> </w:t>
      </w:r>
      <w:r w:rsidR="00482047">
        <w:rPr>
          <w:rFonts w:ascii="Arial" w:hAnsi="Arial" w:cs="Arial"/>
          <w:sz w:val="24"/>
          <w:szCs w:val="24"/>
          <w:lang w:val="mn-MN"/>
        </w:rPr>
        <w:t>4</w:t>
      </w:r>
      <w:r w:rsidR="00AF2CED">
        <w:rPr>
          <w:rFonts w:ascii="Arial" w:hAnsi="Arial" w:cs="Arial"/>
          <w:sz w:val="24"/>
          <w:szCs w:val="24"/>
          <w:lang w:val="mn-MN"/>
        </w:rPr>
        <w:t>, мөн бусад байгууллагад шилжүүлсэн</w:t>
      </w:r>
      <w:r w:rsidR="005260A2">
        <w:rPr>
          <w:rFonts w:ascii="Arial" w:hAnsi="Arial" w:cs="Arial"/>
          <w:sz w:val="24"/>
          <w:szCs w:val="24"/>
          <w:lang w:val="mn-MN"/>
        </w:rPr>
        <w:t xml:space="preserve"> </w:t>
      </w:r>
      <w:r w:rsidR="00A6019F">
        <w:rPr>
          <w:rFonts w:ascii="Arial" w:hAnsi="Arial" w:cs="Arial"/>
          <w:sz w:val="24"/>
          <w:szCs w:val="24"/>
          <w:lang w:val="mn-MN"/>
        </w:rPr>
        <w:t>2</w:t>
      </w:r>
      <w:r w:rsidR="005260A2">
        <w:rPr>
          <w:rFonts w:ascii="Arial" w:hAnsi="Arial" w:cs="Arial"/>
          <w:sz w:val="24"/>
          <w:szCs w:val="24"/>
          <w:lang w:val="mn-MN"/>
        </w:rPr>
        <w:t xml:space="preserve"> өргөдөл, гомдол байна. Э</w:t>
      </w:r>
      <w:r w:rsidR="0043214A">
        <w:rPr>
          <w:rFonts w:ascii="Arial" w:hAnsi="Arial" w:cs="Arial"/>
          <w:sz w:val="24"/>
          <w:szCs w:val="24"/>
          <w:lang w:val="mn-MN"/>
        </w:rPr>
        <w:t xml:space="preserve">нэ талаар өргөдөл, гомдол </w:t>
      </w:r>
      <w:r w:rsidR="00AF2CED">
        <w:rPr>
          <w:rFonts w:ascii="Arial" w:hAnsi="Arial" w:cs="Arial"/>
          <w:sz w:val="24"/>
          <w:szCs w:val="24"/>
          <w:lang w:val="mn-MN"/>
        </w:rPr>
        <w:t xml:space="preserve">гаргагчид мэдэгдсэн болно. </w:t>
      </w:r>
      <w:r w:rsidR="008D24EE">
        <w:rPr>
          <w:rFonts w:ascii="Arial" w:hAnsi="Arial" w:cs="Arial"/>
          <w:sz w:val="24"/>
          <w:szCs w:val="24"/>
          <w:lang w:val="mn-MN"/>
        </w:rPr>
        <w:t>Өргөдөл, гомдлын шийдвэрлэлтийн дүнг 1 дүгээр зурагт харуулав.</w:t>
      </w:r>
      <w:r w:rsidR="000152CB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2C26BC" w:rsidRPr="002C26BC" w:rsidRDefault="002C26BC" w:rsidP="002C26BC">
      <w:pPr>
        <w:spacing w:before="240" w:after="0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1ED0857" wp14:editId="7D65AFF1">
            <wp:simplePos x="0" y="0"/>
            <wp:positionH relativeFrom="column">
              <wp:posOffset>970280</wp:posOffset>
            </wp:positionH>
            <wp:positionV relativeFrom="paragraph">
              <wp:posOffset>307975</wp:posOffset>
            </wp:positionV>
            <wp:extent cx="4001135" cy="1971040"/>
            <wp:effectExtent l="0" t="0" r="18415" b="10160"/>
            <wp:wrapTight wrapText="bothSides">
              <wp:wrapPolygon edited="0">
                <wp:start x="0" y="0"/>
                <wp:lineTo x="0" y="21503"/>
                <wp:lineTo x="21597" y="21503"/>
                <wp:lineTo x="21597" y="0"/>
                <wp:lineTo x="0" y="0"/>
              </wp:wrapPolygon>
            </wp:wrapTight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sz w:val="20"/>
          <w:szCs w:val="20"/>
          <w:lang w:val="mn-MN"/>
        </w:rPr>
        <w:t xml:space="preserve">                                                                                             </w:t>
      </w:r>
      <w:r w:rsidRPr="002C26BC">
        <w:rPr>
          <w:rFonts w:ascii="Arial" w:hAnsi="Arial" w:cs="Arial"/>
          <w:sz w:val="24"/>
          <w:szCs w:val="24"/>
          <w:lang w:val="mn-MN"/>
        </w:rPr>
        <w:t>1</w:t>
      </w:r>
      <w:r>
        <w:rPr>
          <w:rFonts w:ascii="Arial" w:hAnsi="Arial" w:cs="Arial"/>
          <w:sz w:val="24"/>
          <w:szCs w:val="24"/>
          <w:lang w:val="mn-MN"/>
        </w:rPr>
        <w:t xml:space="preserve"> дүгээр зураг</w:t>
      </w:r>
    </w:p>
    <w:p w:rsidR="002B45E2" w:rsidRDefault="008D24EE" w:rsidP="008D24EE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i/>
          <w:sz w:val="20"/>
          <w:szCs w:val="20"/>
          <w:lang w:val="mn-MN"/>
        </w:rPr>
        <w:t xml:space="preserve"> </w:t>
      </w:r>
    </w:p>
    <w:p w:rsidR="002B45E2" w:rsidRDefault="002B45E2" w:rsidP="007269A7">
      <w:pPr>
        <w:spacing w:after="120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</w:p>
    <w:p w:rsidR="002B45E2" w:rsidRDefault="002B45E2" w:rsidP="007269A7">
      <w:pPr>
        <w:spacing w:after="120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</w:p>
    <w:p w:rsidR="002B45E2" w:rsidRDefault="002B45E2" w:rsidP="007269A7">
      <w:pPr>
        <w:spacing w:after="120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</w:p>
    <w:p w:rsidR="002B45E2" w:rsidRDefault="002B45E2" w:rsidP="007269A7">
      <w:pPr>
        <w:spacing w:after="120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</w:p>
    <w:p w:rsidR="002B45E2" w:rsidRDefault="002B45E2" w:rsidP="007269A7">
      <w:pPr>
        <w:spacing w:after="120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</w:p>
    <w:p w:rsidR="002B45E2" w:rsidRDefault="002B45E2" w:rsidP="00670758">
      <w:pPr>
        <w:ind w:firstLine="709"/>
        <w:jc w:val="both"/>
        <w:rPr>
          <w:rFonts w:ascii="Arial" w:hAnsi="Arial" w:cs="Arial"/>
          <w:sz w:val="24"/>
          <w:szCs w:val="24"/>
          <w:lang w:val="mn-MN"/>
        </w:rPr>
      </w:pPr>
    </w:p>
    <w:p w:rsidR="002C26BC" w:rsidRDefault="002C26BC" w:rsidP="002C26BC">
      <w:pPr>
        <w:spacing w:after="120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</w:p>
    <w:p w:rsidR="002B45E2" w:rsidRDefault="002B45E2" w:rsidP="002C26BC">
      <w:pPr>
        <w:ind w:firstLine="709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Шийдвэрлэсэн өргөдөл, гомдлын</w:t>
      </w:r>
      <w:r w:rsidR="00C71811">
        <w:rPr>
          <w:rFonts w:ascii="Arial" w:hAnsi="Arial" w:cs="Arial"/>
          <w:sz w:val="24"/>
          <w:szCs w:val="24"/>
          <w:lang w:val="mn-MN"/>
        </w:rPr>
        <w:t xml:space="preserve"> 51 буюу 47.7 хувийг албан бичгээр, 2 буюу 1.7 хувийг утсаар, </w:t>
      </w:r>
      <w:r>
        <w:rPr>
          <w:rFonts w:ascii="Arial" w:hAnsi="Arial" w:cs="Arial"/>
          <w:sz w:val="24"/>
          <w:szCs w:val="24"/>
          <w:lang w:val="mn-MN"/>
        </w:rPr>
        <w:t xml:space="preserve">54 буюу 50.5 хувийг </w:t>
      </w:r>
      <w:r w:rsidR="00C71811">
        <w:rPr>
          <w:rFonts w:ascii="Arial" w:hAnsi="Arial" w:cs="Arial"/>
          <w:sz w:val="24"/>
          <w:szCs w:val="24"/>
          <w:lang w:val="mn-MN"/>
        </w:rPr>
        <w:t xml:space="preserve">биечлэн </w:t>
      </w:r>
      <w:r>
        <w:rPr>
          <w:rFonts w:ascii="Arial" w:hAnsi="Arial" w:cs="Arial"/>
          <w:sz w:val="24"/>
          <w:szCs w:val="24"/>
          <w:lang w:val="mn-MN"/>
        </w:rPr>
        <w:t>амаар</w:t>
      </w:r>
      <w:r w:rsidR="00C71811">
        <w:rPr>
          <w:rFonts w:ascii="Arial" w:hAnsi="Arial" w:cs="Arial"/>
          <w:sz w:val="24"/>
          <w:szCs w:val="24"/>
          <w:lang w:val="mn-MN"/>
        </w:rPr>
        <w:t xml:space="preserve"> болон</w:t>
      </w:r>
      <w:r>
        <w:rPr>
          <w:rFonts w:ascii="Arial" w:hAnsi="Arial" w:cs="Arial"/>
          <w:sz w:val="24"/>
          <w:szCs w:val="24"/>
          <w:lang w:val="mn-MN"/>
        </w:rPr>
        <w:t xml:space="preserve"> бусад хэлбэрээр</w:t>
      </w:r>
      <w:r w:rsidR="00C71811">
        <w:rPr>
          <w:rFonts w:ascii="Arial" w:hAnsi="Arial" w:cs="Arial"/>
          <w:sz w:val="24"/>
          <w:szCs w:val="24"/>
          <w:lang w:val="mn-MN"/>
        </w:rPr>
        <w:t xml:space="preserve"> өргөдөл, гомдол гаргагчид хариу мэдэгдсэн байна. </w:t>
      </w:r>
    </w:p>
    <w:p w:rsidR="007269A7" w:rsidRDefault="004A5842" w:rsidP="00670758">
      <w:pPr>
        <w:ind w:firstLine="709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Өргөдөл, гомдлын шийдвэрлэлтийн байдлыг тус байгууллагын зохион бай</w:t>
      </w:r>
      <w:r w:rsidR="004B2852">
        <w:rPr>
          <w:rFonts w:ascii="Arial" w:hAnsi="Arial" w:cs="Arial"/>
          <w:sz w:val="24"/>
          <w:szCs w:val="24"/>
          <w:lang w:val="mn-MN"/>
        </w:rPr>
        <w:t xml:space="preserve">гуулалтын нэгж бүрээр авч үзэн </w:t>
      </w:r>
      <w:r w:rsidR="002C26BC">
        <w:rPr>
          <w:rFonts w:ascii="Arial" w:hAnsi="Arial" w:cs="Arial"/>
          <w:sz w:val="24"/>
          <w:szCs w:val="24"/>
          <w:lang w:val="mn-MN"/>
        </w:rPr>
        <w:t>1 дүгээр хүснэгтэд харуулав</w:t>
      </w:r>
      <w:r w:rsidR="004B2852">
        <w:rPr>
          <w:rFonts w:ascii="Arial" w:hAnsi="Arial" w:cs="Arial"/>
          <w:sz w:val="24"/>
          <w:szCs w:val="24"/>
          <w:lang w:val="mn-MN"/>
        </w:rPr>
        <w:t xml:space="preserve">. </w:t>
      </w:r>
    </w:p>
    <w:p w:rsidR="004B2852" w:rsidRDefault="002C26BC" w:rsidP="002C26BC">
      <w:pPr>
        <w:ind w:firstLine="709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 xml:space="preserve">                                                                                                   1 дүгээр хүснэгт</w:t>
      </w:r>
    </w:p>
    <w:p w:rsidR="005D1C44" w:rsidRPr="00D82D1C" w:rsidRDefault="004B2852" w:rsidP="005D1C4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82D1C">
        <w:rPr>
          <w:rFonts w:ascii="Arial" w:hAnsi="Arial" w:cs="Arial"/>
          <w:sz w:val="24"/>
          <w:szCs w:val="24"/>
          <w:lang w:val="mn-MN"/>
        </w:rPr>
        <w:t>Өргөдөл, гомдлын шийдвэрлэлтийн байдал</w:t>
      </w:r>
      <w:r w:rsidR="005D1C44" w:rsidRPr="00D82D1C">
        <w:rPr>
          <w:rFonts w:ascii="Arial" w:hAnsi="Arial" w:cs="Arial"/>
          <w:sz w:val="24"/>
          <w:szCs w:val="24"/>
          <w:lang w:val="mn-MN"/>
        </w:rPr>
        <w:t xml:space="preserve">, </w:t>
      </w:r>
    </w:p>
    <w:p w:rsidR="004B2852" w:rsidRPr="00462F46" w:rsidRDefault="005D1C44" w:rsidP="004B2852">
      <w:pPr>
        <w:jc w:val="center"/>
        <w:rPr>
          <w:rFonts w:ascii="Arial" w:hAnsi="Arial" w:cs="Arial"/>
          <w:i/>
          <w:sz w:val="24"/>
          <w:szCs w:val="24"/>
        </w:rPr>
      </w:pPr>
      <w:r w:rsidRPr="00D82D1C">
        <w:rPr>
          <w:rFonts w:ascii="Arial" w:hAnsi="Arial" w:cs="Arial"/>
          <w:sz w:val="24"/>
          <w:szCs w:val="24"/>
        </w:rPr>
        <w:t>(</w:t>
      </w:r>
      <w:r w:rsidRPr="00D82D1C">
        <w:rPr>
          <w:rFonts w:ascii="Arial" w:hAnsi="Arial" w:cs="Arial"/>
          <w:sz w:val="24"/>
          <w:szCs w:val="24"/>
          <w:lang w:val="mn-MN"/>
        </w:rPr>
        <w:t>хэлтэс,</w:t>
      </w:r>
      <w:r w:rsidRPr="00D82D1C">
        <w:rPr>
          <w:rFonts w:ascii="Arial" w:hAnsi="Arial" w:cs="Arial"/>
          <w:sz w:val="24"/>
          <w:szCs w:val="24"/>
        </w:rPr>
        <w:t xml:space="preserve"> </w:t>
      </w:r>
      <w:r w:rsidRPr="00D82D1C">
        <w:rPr>
          <w:rFonts w:ascii="Arial" w:hAnsi="Arial" w:cs="Arial"/>
          <w:sz w:val="24"/>
          <w:szCs w:val="24"/>
          <w:lang w:val="mn-MN"/>
        </w:rPr>
        <w:t>албадаар</w:t>
      </w:r>
      <w:r w:rsidRPr="00D82D1C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851"/>
        <w:gridCol w:w="850"/>
        <w:gridCol w:w="851"/>
        <w:gridCol w:w="850"/>
        <w:gridCol w:w="851"/>
        <w:gridCol w:w="850"/>
        <w:gridCol w:w="709"/>
      </w:tblGrid>
      <w:tr w:rsidR="006B3353" w:rsidRPr="004E24B5" w:rsidTr="00247B8F">
        <w:tc>
          <w:tcPr>
            <w:tcW w:w="567" w:type="dxa"/>
            <w:vMerge w:val="restart"/>
            <w:vAlign w:val="center"/>
          </w:tcPr>
          <w:p w:rsidR="006B3353" w:rsidRPr="004E24B5" w:rsidRDefault="006B3353" w:rsidP="006B335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Д/д</w:t>
            </w:r>
          </w:p>
        </w:tc>
        <w:tc>
          <w:tcPr>
            <w:tcW w:w="2693" w:type="dxa"/>
            <w:vMerge w:val="restart"/>
            <w:vAlign w:val="center"/>
          </w:tcPr>
          <w:p w:rsidR="006B3353" w:rsidRPr="004E24B5" w:rsidRDefault="006B3353" w:rsidP="004E24B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4E24B5">
              <w:rPr>
                <w:rFonts w:ascii="Arial" w:hAnsi="Arial" w:cs="Arial"/>
                <w:sz w:val="18"/>
                <w:szCs w:val="18"/>
                <w:lang w:val="mn-MN"/>
              </w:rPr>
              <w:t>Хэлтэс, албаны нэр</w:t>
            </w:r>
          </w:p>
        </w:tc>
        <w:tc>
          <w:tcPr>
            <w:tcW w:w="851" w:type="dxa"/>
            <w:vMerge w:val="restart"/>
            <w:shd w:val="clear" w:color="auto" w:fill="EEECE1" w:themeFill="background2"/>
            <w:textDirection w:val="btLr"/>
            <w:vAlign w:val="center"/>
          </w:tcPr>
          <w:p w:rsidR="006B3353" w:rsidRPr="00F636FF" w:rsidRDefault="006B3353" w:rsidP="00F636FF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F636FF">
              <w:rPr>
                <w:rFonts w:ascii="Arial" w:hAnsi="Arial" w:cs="Arial"/>
                <w:b/>
                <w:sz w:val="18"/>
                <w:szCs w:val="18"/>
                <w:lang w:val="mn-MN"/>
              </w:rPr>
              <w:t>Нийт өргөдөл, гомдол</w:t>
            </w:r>
          </w:p>
        </w:tc>
        <w:tc>
          <w:tcPr>
            <w:tcW w:w="3402" w:type="dxa"/>
            <w:gridSpan w:val="4"/>
            <w:vAlign w:val="center"/>
          </w:tcPr>
          <w:p w:rsidR="006B3353" w:rsidRPr="004E24B5" w:rsidRDefault="006B3353" w:rsidP="004E24B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4E24B5">
              <w:rPr>
                <w:rFonts w:ascii="Arial" w:hAnsi="Arial" w:cs="Arial"/>
                <w:sz w:val="18"/>
                <w:szCs w:val="18"/>
                <w:lang w:val="mn-MN"/>
              </w:rPr>
              <w:t>Үүнээс:</w:t>
            </w:r>
          </w:p>
        </w:tc>
        <w:tc>
          <w:tcPr>
            <w:tcW w:w="850" w:type="dxa"/>
            <w:vMerge w:val="restart"/>
            <w:shd w:val="clear" w:color="auto" w:fill="EEECE1" w:themeFill="background2"/>
            <w:textDirection w:val="btLr"/>
            <w:vAlign w:val="center"/>
          </w:tcPr>
          <w:p w:rsidR="006B3353" w:rsidRPr="00F636FF" w:rsidRDefault="006B3353" w:rsidP="004B2852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F636FF">
              <w:rPr>
                <w:rFonts w:ascii="Arial" w:hAnsi="Arial" w:cs="Arial"/>
                <w:b/>
                <w:sz w:val="18"/>
                <w:szCs w:val="18"/>
                <w:lang w:val="mn-MN"/>
              </w:rPr>
              <w:t>Шийдвэрлэлтийн хувь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B3353" w:rsidRPr="004E24B5" w:rsidRDefault="006B3353" w:rsidP="004B285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4E24B5">
              <w:rPr>
                <w:rFonts w:ascii="Arial" w:hAnsi="Arial" w:cs="Arial"/>
                <w:sz w:val="18"/>
                <w:szCs w:val="18"/>
                <w:lang w:val="mn-MN"/>
              </w:rPr>
              <w:t>Байгууллагад эзлэх хувь</w:t>
            </w:r>
          </w:p>
        </w:tc>
      </w:tr>
      <w:tr w:rsidR="00247B8F" w:rsidRPr="004E24B5" w:rsidTr="00247B8F">
        <w:trPr>
          <w:trHeight w:val="1852"/>
        </w:trPr>
        <w:tc>
          <w:tcPr>
            <w:tcW w:w="567" w:type="dxa"/>
            <w:vMerge/>
          </w:tcPr>
          <w:p w:rsidR="00247B8F" w:rsidRPr="004E24B5" w:rsidRDefault="00247B8F" w:rsidP="00670758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693" w:type="dxa"/>
            <w:vMerge/>
          </w:tcPr>
          <w:p w:rsidR="00247B8F" w:rsidRPr="004E24B5" w:rsidRDefault="00247B8F" w:rsidP="00670758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</w:tcPr>
          <w:p w:rsidR="00247B8F" w:rsidRPr="004E24B5" w:rsidRDefault="00247B8F" w:rsidP="00670758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47B8F" w:rsidRPr="004E24B5" w:rsidRDefault="00247B8F" w:rsidP="004E24B5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4E24B5">
              <w:rPr>
                <w:rFonts w:ascii="Arial" w:hAnsi="Arial" w:cs="Arial"/>
                <w:sz w:val="18"/>
                <w:szCs w:val="18"/>
                <w:lang w:val="mn-MN"/>
              </w:rPr>
              <w:t>Шийдвэрлэж, хариу өгсөн</w:t>
            </w:r>
          </w:p>
        </w:tc>
        <w:tc>
          <w:tcPr>
            <w:tcW w:w="851" w:type="dxa"/>
            <w:textDirection w:val="btLr"/>
            <w:vAlign w:val="center"/>
          </w:tcPr>
          <w:p w:rsidR="00247B8F" w:rsidRPr="004E24B5" w:rsidRDefault="00247B8F" w:rsidP="004B285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4E24B5">
              <w:rPr>
                <w:rFonts w:ascii="Arial" w:hAnsi="Arial" w:cs="Arial"/>
                <w:sz w:val="18"/>
                <w:szCs w:val="18"/>
                <w:lang w:val="mn-MN"/>
              </w:rPr>
              <w:t>Тодорхой  шалтгааны улмаас хүлээгдэж байгаа</w:t>
            </w:r>
          </w:p>
        </w:tc>
        <w:tc>
          <w:tcPr>
            <w:tcW w:w="850" w:type="dxa"/>
            <w:textDirection w:val="btLr"/>
            <w:vAlign w:val="center"/>
          </w:tcPr>
          <w:p w:rsidR="00247B8F" w:rsidRPr="004E24B5" w:rsidRDefault="00247B8F" w:rsidP="004B285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4E24B5">
              <w:rPr>
                <w:rFonts w:ascii="Arial" w:hAnsi="Arial" w:cs="Arial"/>
                <w:sz w:val="18"/>
                <w:szCs w:val="18"/>
                <w:lang w:val="mn-MN"/>
              </w:rPr>
              <w:t>Бусад байгууллагад шилжүүлсэн</w:t>
            </w:r>
          </w:p>
        </w:tc>
        <w:tc>
          <w:tcPr>
            <w:tcW w:w="851" w:type="dxa"/>
            <w:textDirection w:val="btLr"/>
            <w:vAlign w:val="center"/>
          </w:tcPr>
          <w:p w:rsidR="00247B8F" w:rsidRPr="004E24B5" w:rsidRDefault="00247B8F" w:rsidP="004B285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4E24B5">
              <w:rPr>
                <w:rFonts w:ascii="Arial" w:hAnsi="Arial" w:cs="Arial"/>
                <w:sz w:val="18"/>
                <w:szCs w:val="18"/>
                <w:lang w:val="mn-MN"/>
              </w:rPr>
              <w:t>Шийдвэрлээгүй</w:t>
            </w:r>
          </w:p>
        </w:tc>
        <w:tc>
          <w:tcPr>
            <w:tcW w:w="850" w:type="dxa"/>
            <w:vMerge/>
            <w:shd w:val="clear" w:color="auto" w:fill="EEECE1" w:themeFill="background2"/>
          </w:tcPr>
          <w:p w:rsidR="00247B8F" w:rsidRPr="00F636FF" w:rsidRDefault="00247B8F" w:rsidP="008C305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</w:p>
        </w:tc>
        <w:tc>
          <w:tcPr>
            <w:tcW w:w="709" w:type="dxa"/>
            <w:vMerge/>
          </w:tcPr>
          <w:p w:rsidR="00247B8F" w:rsidRPr="004E24B5" w:rsidRDefault="00247B8F" w:rsidP="008C305B">
            <w:pPr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247B8F" w:rsidRPr="004E24B5" w:rsidTr="00247B8F">
        <w:tc>
          <w:tcPr>
            <w:tcW w:w="567" w:type="dxa"/>
            <w:vAlign w:val="center"/>
          </w:tcPr>
          <w:p w:rsidR="00247B8F" w:rsidRPr="006B3353" w:rsidRDefault="00247B8F" w:rsidP="006B335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2693" w:type="dxa"/>
          </w:tcPr>
          <w:p w:rsidR="00247B8F" w:rsidRPr="006B3353" w:rsidRDefault="00247B8F" w:rsidP="006B335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6B3353">
              <w:rPr>
                <w:rFonts w:ascii="Arial" w:hAnsi="Arial" w:cs="Arial"/>
                <w:sz w:val="18"/>
                <w:szCs w:val="18"/>
                <w:lang w:val="mn-MN"/>
              </w:rPr>
              <w:t>Захиргаа, хууль зүйн хэлтэс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247B8F" w:rsidRPr="00F636FF" w:rsidRDefault="00247B8F" w:rsidP="003479C0">
            <w:pPr>
              <w:tabs>
                <w:tab w:val="left" w:pos="449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F636FF">
              <w:rPr>
                <w:rFonts w:ascii="Arial" w:hAnsi="Arial" w:cs="Arial"/>
                <w:b/>
                <w:sz w:val="18"/>
                <w:szCs w:val="18"/>
                <w:lang w:val="mn-MN"/>
              </w:rPr>
              <w:t>54</w:t>
            </w:r>
          </w:p>
        </w:tc>
        <w:tc>
          <w:tcPr>
            <w:tcW w:w="850" w:type="dxa"/>
            <w:vAlign w:val="center"/>
          </w:tcPr>
          <w:p w:rsidR="00247B8F" w:rsidRPr="004E24B5" w:rsidRDefault="00247B8F" w:rsidP="003479C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40</w:t>
            </w:r>
          </w:p>
        </w:tc>
        <w:tc>
          <w:tcPr>
            <w:tcW w:w="851" w:type="dxa"/>
            <w:vAlign w:val="center"/>
          </w:tcPr>
          <w:p w:rsidR="00247B8F" w:rsidRPr="004E24B5" w:rsidRDefault="00247B8F" w:rsidP="003479C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850" w:type="dxa"/>
            <w:vAlign w:val="center"/>
          </w:tcPr>
          <w:p w:rsidR="00247B8F" w:rsidRPr="004E24B5" w:rsidRDefault="00247B8F" w:rsidP="003479C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851" w:type="dxa"/>
            <w:vAlign w:val="center"/>
          </w:tcPr>
          <w:p w:rsidR="00247B8F" w:rsidRPr="004E24B5" w:rsidRDefault="00247B8F" w:rsidP="003479C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247B8F" w:rsidRPr="00F636FF" w:rsidRDefault="00247B8F" w:rsidP="003479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70.1</w:t>
            </w:r>
          </w:p>
        </w:tc>
        <w:tc>
          <w:tcPr>
            <w:tcW w:w="709" w:type="dxa"/>
            <w:vAlign w:val="center"/>
          </w:tcPr>
          <w:p w:rsidR="00247B8F" w:rsidRPr="004E24B5" w:rsidRDefault="00247B8F" w:rsidP="003479C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40.9</w:t>
            </w:r>
          </w:p>
        </w:tc>
      </w:tr>
      <w:tr w:rsidR="00247B8F" w:rsidRPr="004E24B5" w:rsidTr="00247B8F">
        <w:tc>
          <w:tcPr>
            <w:tcW w:w="567" w:type="dxa"/>
            <w:vAlign w:val="center"/>
          </w:tcPr>
          <w:p w:rsidR="00247B8F" w:rsidRDefault="00247B8F" w:rsidP="006B335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693" w:type="dxa"/>
          </w:tcPr>
          <w:p w:rsidR="00247B8F" w:rsidRPr="004E24B5" w:rsidRDefault="00247B8F" w:rsidP="008A03C5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Бодлого төлөвлөлт, удирдлагын хэлтэс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247B8F" w:rsidRPr="00F636FF" w:rsidRDefault="00247B8F" w:rsidP="003479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F636FF">
              <w:rPr>
                <w:rFonts w:ascii="Arial" w:hAnsi="Arial" w:cs="Arial"/>
                <w:b/>
                <w:sz w:val="18"/>
                <w:szCs w:val="18"/>
                <w:lang w:val="mn-MN"/>
              </w:rPr>
              <w:t>61</w:t>
            </w:r>
          </w:p>
        </w:tc>
        <w:tc>
          <w:tcPr>
            <w:tcW w:w="850" w:type="dxa"/>
            <w:vAlign w:val="center"/>
          </w:tcPr>
          <w:p w:rsidR="00247B8F" w:rsidRPr="004E24B5" w:rsidRDefault="00247B8F" w:rsidP="003479C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55</w:t>
            </w:r>
          </w:p>
        </w:tc>
        <w:tc>
          <w:tcPr>
            <w:tcW w:w="851" w:type="dxa"/>
            <w:vAlign w:val="center"/>
          </w:tcPr>
          <w:p w:rsidR="00247B8F" w:rsidRPr="004E24B5" w:rsidRDefault="00247B8F" w:rsidP="003479C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850" w:type="dxa"/>
            <w:vAlign w:val="center"/>
          </w:tcPr>
          <w:p w:rsidR="00247B8F" w:rsidRPr="004E24B5" w:rsidRDefault="00247B8F" w:rsidP="003479C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851" w:type="dxa"/>
            <w:vAlign w:val="center"/>
          </w:tcPr>
          <w:p w:rsidR="00247B8F" w:rsidRPr="004E24B5" w:rsidRDefault="00247B8F" w:rsidP="003479C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247B8F" w:rsidRPr="00F636FF" w:rsidRDefault="00247B8F" w:rsidP="003479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90.2</w:t>
            </w:r>
          </w:p>
        </w:tc>
        <w:tc>
          <w:tcPr>
            <w:tcW w:w="709" w:type="dxa"/>
            <w:vAlign w:val="center"/>
          </w:tcPr>
          <w:p w:rsidR="00247B8F" w:rsidRPr="004E24B5" w:rsidRDefault="00247B8F" w:rsidP="003479C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46.2</w:t>
            </w:r>
          </w:p>
        </w:tc>
      </w:tr>
      <w:tr w:rsidR="00247B8F" w:rsidRPr="004E24B5" w:rsidTr="00247B8F">
        <w:tc>
          <w:tcPr>
            <w:tcW w:w="567" w:type="dxa"/>
            <w:vAlign w:val="center"/>
          </w:tcPr>
          <w:p w:rsidR="00247B8F" w:rsidRDefault="00247B8F" w:rsidP="006B335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2693" w:type="dxa"/>
          </w:tcPr>
          <w:p w:rsidR="00247B8F" w:rsidRPr="004E24B5" w:rsidRDefault="00247B8F" w:rsidP="008A03C5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Төрийн өмчийн бүртгэл, хяналтын хэлтэс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247B8F" w:rsidRPr="00F636FF" w:rsidRDefault="00247B8F" w:rsidP="003479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F636FF">
              <w:rPr>
                <w:rFonts w:ascii="Arial" w:hAnsi="Arial" w:cs="Arial"/>
                <w:b/>
                <w:sz w:val="18"/>
                <w:szCs w:val="18"/>
                <w:lang w:val="mn-MN"/>
              </w:rPr>
              <w:t>14</w:t>
            </w:r>
          </w:p>
        </w:tc>
        <w:tc>
          <w:tcPr>
            <w:tcW w:w="850" w:type="dxa"/>
            <w:vAlign w:val="center"/>
          </w:tcPr>
          <w:p w:rsidR="00247B8F" w:rsidRPr="004E24B5" w:rsidRDefault="00247B8F" w:rsidP="003479C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851" w:type="dxa"/>
            <w:vAlign w:val="center"/>
          </w:tcPr>
          <w:p w:rsidR="00247B8F" w:rsidRPr="004E24B5" w:rsidRDefault="00247B8F" w:rsidP="003479C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247B8F" w:rsidRPr="004E24B5" w:rsidRDefault="00247B8F" w:rsidP="003479C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247B8F" w:rsidRPr="004E24B5" w:rsidRDefault="00247B8F" w:rsidP="003479C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247B8F" w:rsidRPr="00F636FF" w:rsidRDefault="00247B8F" w:rsidP="003479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64.3</w:t>
            </w:r>
          </w:p>
        </w:tc>
        <w:tc>
          <w:tcPr>
            <w:tcW w:w="709" w:type="dxa"/>
            <w:vAlign w:val="center"/>
          </w:tcPr>
          <w:p w:rsidR="00247B8F" w:rsidRPr="004E24B5" w:rsidRDefault="00247B8F" w:rsidP="003479C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10.6</w:t>
            </w:r>
          </w:p>
        </w:tc>
      </w:tr>
      <w:tr w:rsidR="00247B8F" w:rsidRPr="004E24B5" w:rsidTr="00247B8F">
        <w:tc>
          <w:tcPr>
            <w:tcW w:w="567" w:type="dxa"/>
            <w:vAlign w:val="center"/>
          </w:tcPr>
          <w:p w:rsidR="00247B8F" w:rsidRDefault="00247B8F" w:rsidP="006B335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2693" w:type="dxa"/>
          </w:tcPr>
          <w:p w:rsidR="00247B8F" w:rsidRPr="004E24B5" w:rsidRDefault="00247B8F" w:rsidP="008A03C5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Худалдан авах ажиллагааны хэлтэс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247B8F" w:rsidRPr="00F636FF" w:rsidRDefault="00247B8F" w:rsidP="003479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F636FF">
              <w:rPr>
                <w:rFonts w:ascii="Arial" w:hAnsi="Arial" w:cs="Arial"/>
                <w:b/>
                <w:sz w:val="18"/>
                <w:szCs w:val="18"/>
                <w:lang w:val="mn-MN"/>
              </w:rPr>
              <w:t>3</w:t>
            </w:r>
          </w:p>
        </w:tc>
        <w:tc>
          <w:tcPr>
            <w:tcW w:w="850" w:type="dxa"/>
            <w:vAlign w:val="center"/>
          </w:tcPr>
          <w:p w:rsidR="00247B8F" w:rsidRPr="004E24B5" w:rsidRDefault="00247B8F" w:rsidP="003479C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851" w:type="dxa"/>
            <w:vAlign w:val="center"/>
          </w:tcPr>
          <w:p w:rsidR="00247B8F" w:rsidRPr="004E24B5" w:rsidRDefault="00247B8F" w:rsidP="003479C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247B8F" w:rsidRPr="004E24B5" w:rsidRDefault="00247B8F" w:rsidP="003479C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247B8F" w:rsidRPr="004E24B5" w:rsidRDefault="00247B8F" w:rsidP="003479C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247B8F" w:rsidRPr="00F636FF" w:rsidRDefault="00247B8F" w:rsidP="003479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100.0</w:t>
            </w:r>
          </w:p>
        </w:tc>
        <w:tc>
          <w:tcPr>
            <w:tcW w:w="709" w:type="dxa"/>
            <w:vAlign w:val="center"/>
          </w:tcPr>
          <w:p w:rsidR="00247B8F" w:rsidRPr="004E24B5" w:rsidRDefault="00247B8F" w:rsidP="003479C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2.3</w:t>
            </w:r>
          </w:p>
        </w:tc>
      </w:tr>
      <w:tr w:rsidR="00247B8F" w:rsidRPr="004E24B5" w:rsidTr="00247B8F">
        <w:tc>
          <w:tcPr>
            <w:tcW w:w="567" w:type="dxa"/>
            <w:vAlign w:val="center"/>
          </w:tcPr>
          <w:p w:rsidR="00247B8F" w:rsidRDefault="00247B8F" w:rsidP="006B3353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2693" w:type="dxa"/>
          </w:tcPr>
          <w:p w:rsidR="00247B8F" w:rsidRPr="004E24B5" w:rsidRDefault="00247B8F" w:rsidP="00B422DC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Мэдээлэл, технологийн алба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247B8F" w:rsidRPr="00F636FF" w:rsidRDefault="00247B8F" w:rsidP="003479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247B8F" w:rsidRPr="004E24B5" w:rsidRDefault="00247B8F" w:rsidP="003479C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247B8F" w:rsidRPr="004E24B5" w:rsidRDefault="00247B8F" w:rsidP="003479C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0" w:type="dxa"/>
            <w:vAlign w:val="center"/>
          </w:tcPr>
          <w:p w:rsidR="00247B8F" w:rsidRPr="004E24B5" w:rsidRDefault="00247B8F" w:rsidP="003479C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  <w:tc>
          <w:tcPr>
            <w:tcW w:w="851" w:type="dxa"/>
            <w:vAlign w:val="center"/>
          </w:tcPr>
          <w:p w:rsidR="00247B8F" w:rsidRPr="00247B8F" w:rsidRDefault="00247B8F" w:rsidP="00347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247B8F" w:rsidRPr="00F636FF" w:rsidRDefault="00247B8F" w:rsidP="003479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-</w:t>
            </w:r>
          </w:p>
        </w:tc>
        <w:tc>
          <w:tcPr>
            <w:tcW w:w="709" w:type="dxa"/>
            <w:vAlign w:val="center"/>
          </w:tcPr>
          <w:p w:rsidR="00247B8F" w:rsidRPr="004E24B5" w:rsidRDefault="00247B8F" w:rsidP="003479C0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-</w:t>
            </w:r>
          </w:p>
        </w:tc>
      </w:tr>
      <w:tr w:rsidR="00247B8F" w:rsidRPr="004E24B5" w:rsidTr="00247B8F">
        <w:tc>
          <w:tcPr>
            <w:tcW w:w="3260" w:type="dxa"/>
            <w:gridSpan w:val="2"/>
            <w:shd w:val="clear" w:color="auto" w:fill="EEECE1" w:themeFill="background2"/>
            <w:vAlign w:val="center"/>
          </w:tcPr>
          <w:p w:rsidR="00247B8F" w:rsidRPr="00093BD3" w:rsidRDefault="00247B8F" w:rsidP="006B33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852">
              <w:rPr>
                <w:rFonts w:ascii="Arial" w:hAnsi="Arial" w:cs="Arial"/>
                <w:b/>
                <w:sz w:val="18"/>
                <w:szCs w:val="18"/>
                <w:lang w:val="mn-MN"/>
              </w:rPr>
              <w:t>НИЙТ</w:t>
            </w: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байгууллагын дүн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247B8F" w:rsidRPr="004B2852" w:rsidRDefault="00247B8F" w:rsidP="003479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132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247B8F" w:rsidRPr="004B2852" w:rsidRDefault="00247B8F" w:rsidP="003479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107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247B8F" w:rsidRPr="004B2852" w:rsidRDefault="00247B8F" w:rsidP="003479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4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247B8F" w:rsidRPr="004B2852" w:rsidRDefault="00247B8F" w:rsidP="003479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2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247B8F" w:rsidRPr="004B2852" w:rsidRDefault="00247B8F" w:rsidP="003479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19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247B8F" w:rsidRPr="00F636FF" w:rsidRDefault="00247B8F" w:rsidP="003479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81.1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47B8F" w:rsidRPr="004B2852" w:rsidRDefault="00247B8F" w:rsidP="003479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100.0</w:t>
            </w:r>
          </w:p>
        </w:tc>
      </w:tr>
    </w:tbl>
    <w:p w:rsidR="004A5842" w:rsidRDefault="004A5842" w:rsidP="009E686D">
      <w:pPr>
        <w:spacing w:after="120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</w:p>
    <w:p w:rsidR="00D66D27" w:rsidRDefault="00CD4D3A" w:rsidP="00CD4D3A">
      <w:pPr>
        <w:spacing w:after="120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Иргэдээс</w:t>
      </w:r>
      <w:r w:rsidR="005F7B67">
        <w:rPr>
          <w:rFonts w:ascii="Arial" w:hAnsi="Arial" w:cs="Arial"/>
          <w:sz w:val="24"/>
          <w:szCs w:val="24"/>
          <w:lang w:val="mn-MN"/>
        </w:rPr>
        <w:t xml:space="preserve"> болон төрийн албан хаагчдаас </w:t>
      </w:r>
      <w:r>
        <w:rPr>
          <w:rFonts w:ascii="Arial" w:hAnsi="Arial" w:cs="Arial"/>
          <w:sz w:val="24"/>
          <w:szCs w:val="24"/>
          <w:lang w:val="mn-MN"/>
        </w:rPr>
        <w:t xml:space="preserve">Төрийн өмчийн бодлого, зохицуулалтын газарт гаргасан өргөдөл, гомдлын агуулгыг тоймлон үзвэл, төрийн өмчит </w:t>
      </w:r>
      <w:r w:rsidR="00D66D27">
        <w:rPr>
          <w:rFonts w:ascii="Arial" w:hAnsi="Arial" w:cs="Arial"/>
          <w:sz w:val="24"/>
          <w:szCs w:val="24"/>
          <w:lang w:val="mn-MN"/>
        </w:rPr>
        <w:t xml:space="preserve">болон төрийн өмчийн оролцоотой </w:t>
      </w:r>
      <w:r>
        <w:rPr>
          <w:rFonts w:ascii="Arial" w:hAnsi="Arial" w:cs="Arial"/>
          <w:sz w:val="24"/>
          <w:szCs w:val="24"/>
          <w:lang w:val="mn-MN"/>
        </w:rPr>
        <w:t xml:space="preserve">хуулийн этгээдийн үйл ажиллагаа, өмч хувьчлал, төрийн өмчийн түрээсийн асуудалтай холбоотой өргөдөл, гомдол </w:t>
      </w:r>
      <w:r w:rsidR="0026068B">
        <w:rPr>
          <w:rFonts w:ascii="Arial" w:hAnsi="Arial" w:cs="Arial"/>
          <w:sz w:val="24"/>
          <w:szCs w:val="24"/>
          <w:lang w:val="mn-MN"/>
        </w:rPr>
        <w:t>56.8</w:t>
      </w:r>
      <w:r>
        <w:rPr>
          <w:rFonts w:ascii="Arial" w:hAnsi="Arial" w:cs="Arial"/>
          <w:sz w:val="24"/>
          <w:szCs w:val="24"/>
          <w:lang w:val="mn-MN"/>
        </w:rPr>
        <w:t xml:space="preserve"> хувийг, харин бусад асуудлаар гаргасан өргөдөл, гомдол </w:t>
      </w:r>
      <w:r w:rsidR="0026068B">
        <w:rPr>
          <w:rFonts w:ascii="Arial" w:hAnsi="Arial" w:cs="Arial"/>
          <w:sz w:val="24"/>
          <w:szCs w:val="24"/>
          <w:lang w:val="mn-MN"/>
        </w:rPr>
        <w:t>43.2</w:t>
      </w:r>
      <w:r>
        <w:rPr>
          <w:rFonts w:ascii="Arial" w:hAnsi="Arial" w:cs="Arial"/>
          <w:sz w:val="24"/>
          <w:szCs w:val="24"/>
          <w:lang w:val="mn-MN"/>
        </w:rPr>
        <w:t xml:space="preserve"> хувийг эзэлж байна. </w:t>
      </w:r>
      <w:r w:rsidR="00D8509F">
        <w:rPr>
          <w:rFonts w:ascii="Arial" w:hAnsi="Arial" w:cs="Arial"/>
          <w:sz w:val="24"/>
          <w:szCs w:val="24"/>
          <w:lang w:val="mn-MN"/>
        </w:rPr>
        <w:t>Өргөдөл, гомдлын агуулгыг 2 дугаар хүснэгтэд харуулав</w:t>
      </w:r>
      <w:r w:rsidR="00D66D27">
        <w:rPr>
          <w:rFonts w:ascii="Arial" w:hAnsi="Arial" w:cs="Arial"/>
          <w:sz w:val="24"/>
          <w:szCs w:val="24"/>
          <w:lang w:val="mn-MN"/>
        </w:rPr>
        <w:t xml:space="preserve">. </w:t>
      </w:r>
    </w:p>
    <w:p w:rsidR="00D66D27" w:rsidRDefault="00D066B7" w:rsidP="00E400AD">
      <w:pPr>
        <w:spacing w:before="240" w:after="120"/>
        <w:ind w:firstLine="709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</w:t>
      </w:r>
      <w:r w:rsidR="00D8509F">
        <w:rPr>
          <w:rFonts w:ascii="Arial" w:hAnsi="Arial" w:cs="Arial"/>
          <w:sz w:val="24"/>
          <w:szCs w:val="24"/>
          <w:lang w:val="mn-MN"/>
        </w:rPr>
        <w:t xml:space="preserve"> дугаар хүснэгт</w:t>
      </w:r>
    </w:p>
    <w:p w:rsidR="00976F2C" w:rsidRPr="00D82D1C" w:rsidRDefault="00976F2C" w:rsidP="00976F2C">
      <w:pPr>
        <w:spacing w:after="120"/>
        <w:jc w:val="center"/>
        <w:rPr>
          <w:rFonts w:ascii="Arial" w:hAnsi="Arial" w:cs="Arial"/>
          <w:sz w:val="24"/>
          <w:szCs w:val="24"/>
          <w:lang w:val="mn-MN"/>
        </w:rPr>
      </w:pPr>
      <w:r w:rsidRPr="00D82D1C">
        <w:rPr>
          <w:rFonts w:ascii="Arial" w:hAnsi="Arial" w:cs="Arial"/>
          <w:sz w:val="24"/>
          <w:szCs w:val="24"/>
          <w:lang w:val="mn-MN"/>
        </w:rPr>
        <w:t>Өргөдөл, гомдлын агуулгын судалгаа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6095"/>
        <w:gridCol w:w="886"/>
        <w:gridCol w:w="1559"/>
      </w:tblGrid>
      <w:tr w:rsidR="00680656" w:rsidRPr="00D66D27" w:rsidTr="00680656">
        <w:trPr>
          <w:trHeight w:val="852"/>
        </w:trPr>
        <w:tc>
          <w:tcPr>
            <w:tcW w:w="567" w:type="dxa"/>
            <w:vAlign w:val="center"/>
          </w:tcPr>
          <w:p w:rsidR="00680656" w:rsidRPr="00D66D27" w:rsidRDefault="00680656" w:rsidP="00D66D2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Д/д</w:t>
            </w:r>
          </w:p>
        </w:tc>
        <w:tc>
          <w:tcPr>
            <w:tcW w:w="6095" w:type="dxa"/>
            <w:vAlign w:val="center"/>
          </w:tcPr>
          <w:p w:rsidR="00680656" w:rsidRPr="00D66D27" w:rsidRDefault="00680656" w:rsidP="00D66D2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Өргөдөл, гомдлын агуулга</w:t>
            </w:r>
          </w:p>
        </w:tc>
        <w:tc>
          <w:tcPr>
            <w:tcW w:w="886" w:type="dxa"/>
            <w:vAlign w:val="center"/>
          </w:tcPr>
          <w:p w:rsidR="00680656" w:rsidRPr="00D66D27" w:rsidRDefault="00680656" w:rsidP="00D66D2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66D27">
              <w:rPr>
                <w:rFonts w:ascii="Arial" w:hAnsi="Arial" w:cs="Arial"/>
                <w:sz w:val="20"/>
                <w:szCs w:val="20"/>
                <w:lang w:val="mn-MN"/>
              </w:rPr>
              <w:t>Нийт</w:t>
            </w:r>
          </w:p>
        </w:tc>
        <w:tc>
          <w:tcPr>
            <w:tcW w:w="1559" w:type="dxa"/>
            <w:vAlign w:val="center"/>
          </w:tcPr>
          <w:p w:rsidR="00680656" w:rsidRPr="00D66D27" w:rsidRDefault="00680656" w:rsidP="00D66D2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66D27">
              <w:rPr>
                <w:rFonts w:ascii="Arial" w:hAnsi="Arial" w:cs="Arial"/>
                <w:sz w:val="20"/>
                <w:szCs w:val="20"/>
                <w:lang w:val="mn-MN"/>
              </w:rPr>
              <w:t>Нийт өргөдөлтэй харьцуулсан хувь</w:t>
            </w:r>
          </w:p>
        </w:tc>
      </w:tr>
      <w:tr w:rsidR="00680656" w:rsidRPr="00D66D27" w:rsidTr="00680656">
        <w:tc>
          <w:tcPr>
            <w:tcW w:w="567" w:type="dxa"/>
            <w:vAlign w:val="center"/>
          </w:tcPr>
          <w:p w:rsidR="00680656" w:rsidRPr="00D66D27" w:rsidRDefault="00680656" w:rsidP="00D66D2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6095" w:type="dxa"/>
            <w:vAlign w:val="center"/>
          </w:tcPr>
          <w:p w:rsidR="00680656" w:rsidRPr="00D66D27" w:rsidRDefault="00680656" w:rsidP="00D66D2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Төрийн өмчит болон төрийн өмчийн оролцоотой хуулийн этгээдийн үйл ажиллагаатай холбоотой</w:t>
            </w:r>
          </w:p>
        </w:tc>
        <w:tc>
          <w:tcPr>
            <w:tcW w:w="886" w:type="dxa"/>
            <w:vAlign w:val="center"/>
          </w:tcPr>
          <w:p w:rsidR="00680656" w:rsidRPr="00D66D27" w:rsidRDefault="00680656" w:rsidP="00C64C4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40</w:t>
            </w:r>
          </w:p>
        </w:tc>
        <w:tc>
          <w:tcPr>
            <w:tcW w:w="1559" w:type="dxa"/>
            <w:vAlign w:val="center"/>
          </w:tcPr>
          <w:p w:rsidR="00680656" w:rsidRPr="00D66D27" w:rsidRDefault="00680656" w:rsidP="00D66D2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30.3</w:t>
            </w:r>
          </w:p>
        </w:tc>
      </w:tr>
      <w:tr w:rsidR="00680656" w:rsidRPr="00D66D27" w:rsidTr="00680656">
        <w:tc>
          <w:tcPr>
            <w:tcW w:w="567" w:type="dxa"/>
            <w:vAlign w:val="center"/>
          </w:tcPr>
          <w:p w:rsidR="00680656" w:rsidRPr="00D66D27" w:rsidRDefault="00680656" w:rsidP="00D66D2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6095" w:type="dxa"/>
            <w:vAlign w:val="center"/>
          </w:tcPr>
          <w:p w:rsidR="00680656" w:rsidRPr="00D66D27" w:rsidRDefault="00680656" w:rsidP="00D66D2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Өмч хувьчлал, төрийн өмчийн түрээсийн асуудлаар</w:t>
            </w:r>
          </w:p>
        </w:tc>
        <w:tc>
          <w:tcPr>
            <w:tcW w:w="886" w:type="dxa"/>
            <w:vAlign w:val="center"/>
          </w:tcPr>
          <w:p w:rsidR="00680656" w:rsidRPr="00D66D27" w:rsidRDefault="00680656" w:rsidP="00C64C4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35</w:t>
            </w:r>
          </w:p>
        </w:tc>
        <w:tc>
          <w:tcPr>
            <w:tcW w:w="1559" w:type="dxa"/>
            <w:vAlign w:val="center"/>
          </w:tcPr>
          <w:p w:rsidR="00680656" w:rsidRPr="00D66D27" w:rsidRDefault="00680656" w:rsidP="00D66D2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26.5</w:t>
            </w:r>
          </w:p>
        </w:tc>
      </w:tr>
      <w:tr w:rsidR="00680656" w:rsidRPr="00D66D27" w:rsidTr="00680656">
        <w:tc>
          <w:tcPr>
            <w:tcW w:w="567" w:type="dxa"/>
            <w:vAlign w:val="center"/>
          </w:tcPr>
          <w:p w:rsidR="00680656" w:rsidRPr="00D66D27" w:rsidRDefault="00680656" w:rsidP="00D66D2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6095" w:type="dxa"/>
            <w:vAlign w:val="center"/>
          </w:tcPr>
          <w:p w:rsidR="00680656" w:rsidRPr="00D66D27" w:rsidRDefault="00680656" w:rsidP="00D66D2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Ажилд орох, ажлаас чөлөөлөгдөх, шүүхийн шийдвэр биелүүлэх</w:t>
            </w:r>
          </w:p>
        </w:tc>
        <w:tc>
          <w:tcPr>
            <w:tcW w:w="886" w:type="dxa"/>
            <w:vAlign w:val="center"/>
          </w:tcPr>
          <w:p w:rsidR="00680656" w:rsidRPr="00D66D27" w:rsidRDefault="00680656" w:rsidP="00C64C4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12</w:t>
            </w:r>
          </w:p>
        </w:tc>
        <w:tc>
          <w:tcPr>
            <w:tcW w:w="1559" w:type="dxa"/>
            <w:vAlign w:val="center"/>
          </w:tcPr>
          <w:p w:rsidR="00680656" w:rsidRPr="00D66D27" w:rsidRDefault="0026068B" w:rsidP="00D66D2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9.1</w:t>
            </w:r>
          </w:p>
        </w:tc>
      </w:tr>
      <w:tr w:rsidR="00680656" w:rsidRPr="00D66D27" w:rsidTr="00680656">
        <w:tc>
          <w:tcPr>
            <w:tcW w:w="567" w:type="dxa"/>
            <w:vAlign w:val="center"/>
          </w:tcPr>
          <w:p w:rsidR="00680656" w:rsidRPr="00D66D27" w:rsidRDefault="00680656" w:rsidP="00D66D2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6095" w:type="dxa"/>
            <w:vAlign w:val="center"/>
          </w:tcPr>
          <w:p w:rsidR="00680656" w:rsidRPr="00D66D27" w:rsidRDefault="00680656" w:rsidP="00D66D2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Урамшуулал, дэмжлэг, туслалцаа хүсэх</w:t>
            </w:r>
          </w:p>
        </w:tc>
        <w:tc>
          <w:tcPr>
            <w:tcW w:w="886" w:type="dxa"/>
            <w:vAlign w:val="center"/>
          </w:tcPr>
          <w:p w:rsidR="00680656" w:rsidRPr="00D66D27" w:rsidRDefault="00680656" w:rsidP="00C64C4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24</w:t>
            </w:r>
          </w:p>
        </w:tc>
        <w:tc>
          <w:tcPr>
            <w:tcW w:w="1559" w:type="dxa"/>
            <w:vAlign w:val="center"/>
          </w:tcPr>
          <w:p w:rsidR="00680656" w:rsidRPr="00D66D27" w:rsidRDefault="0026068B" w:rsidP="00D66D2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18.2</w:t>
            </w:r>
          </w:p>
        </w:tc>
      </w:tr>
      <w:tr w:rsidR="00680656" w:rsidRPr="00D66D27" w:rsidTr="00680656">
        <w:tc>
          <w:tcPr>
            <w:tcW w:w="567" w:type="dxa"/>
            <w:vAlign w:val="center"/>
          </w:tcPr>
          <w:p w:rsidR="00680656" w:rsidRPr="00D66D27" w:rsidRDefault="00680656" w:rsidP="00D66D2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6095" w:type="dxa"/>
            <w:vAlign w:val="center"/>
          </w:tcPr>
          <w:p w:rsidR="00680656" w:rsidRPr="00D66D27" w:rsidRDefault="00680656" w:rsidP="00D66D2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Бусад</w:t>
            </w:r>
          </w:p>
        </w:tc>
        <w:tc>
          <w:tcPr>
            <w:tcW w:w="886" w:type="dxa"/>
            <w:vAlign w:val="center"/>
          </w:tcPr>
          <w:p w:rsidR="00680656" w:rsidRPr="00D66D27" w:rsidRDefault="00680656" w:rsidP="00C64C4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21</w:t>
            </w:r>
          </w:p>
        </w:tc>
        <w:tc>
          <w:tcPr>
            <w:tcW w:w="1559" w:type="dxa"/>
            <w:vAlign w:val="center"/>
          </w:tcPr>
          <w:p w:rsidR="00680656" w:rsidRPr="00D66D27" w:rsidRDefault="0026068B" w:rsidP="0026068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15</w:t>
            </w:r>
            <w:r w:rsidR="00680656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</w:p>
        </w:tc>
      </w:tr>
      <w:tr w:rsidR="00680656" w:rsidRPr="00D66D27" w:rsidTr="00680656">
        <w:tc>
          <w:tcPr>
            <w:tcW w:w="6662" w:type="dxa"/>
            <w:gridSpan w:val="2"/>
            <w:shd w:val="clear" w:color="auto" w:fill="DDD9C3" w:themeFill="background2" w:themeFillShade="E6"/>
            <w:vAlign w:val="center"/>
          </w:tcPr>
          <w:p w:rsidR="00680656" w:rsidRPr="005F7B67" w:rsidRDefault="00680656" w:rsidP="005F7B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5F7B67">
              <w:rPr>
                <w:rFonts w:ascii="Arial" w:hAnsi="Arial" w:cs="Arial"/>
                <w:b/>
                <w:sz w:val="20"/>
                <w:szCs w:val="20"/>
                <w:lang w:val="mn-MN"/>
              </w:rPr>
              <w:t>НИЙТ</w:t>
            </w:r>
          </w:p>
        </w:tc>
        <w:tc>
          <w:tcPr>
            <w:tcW w:w="886" w:type="dxa"/>
            <w:shd w:val="clear" w:color="auto" w:fill="DDD9C3" w:themeFill="background2" w:themeFillShade="E6"/>
            <w:vAlign w:val="center"/>
          </w:tcPr>
          <w:p w:rsidR="00680656" w:rsidRPr="005F7B67" w:rsidRDefault="00680656" w:rsidP="00D66D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132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680656" w:rsidRPr="005F7B67" w:rsidRDefault="00680656" w:rsidP="00C64C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100.0</w:t>
            </w:r>
          </w:p>
        </w:tc>
      </w:tr>
    </w:tbl>
    <w:p w:rsidR="00D66D27" w:rsidRDefault="00D66D27" w:rsidP="00CD4D3A">
      <w:pPr>
        <w:spacing w:after="120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</w:p>
    <w:p w:rsidR="0030519B" w:rsidRDefault="00DA4663" w:rsidP="00DA4663">
      <w:pPr>
        <w:pStyle w:val="ListParagraph"/>
        <w:spacing w:after="120"/>
        <w:ind w:left="0" w:firstLine="709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Төрийн өмчийн бодлого, зохицуулалтын газарт иргэдээс ирүүлсэн өргөдөл, гомдлын шийдвэрлэлтийн мэдээг газрын даргын Зөвлөлийн хуралд танилцуулж, цаашид анхаарах асуудлыг холбогдох албан хаагчдад үүрэг болгов. </w:t>
      </w:r>
      <w:r w:rsidR="0030519B">
        <w:rPr>
          <w:rFonts w:ascii="Arial" w:hAnsi="Arial" w:cs="Arial"/>
          <w:sz w:val="24"/>
          <w:szCs w:val="24"/>
          <w:lang w:val="mn-MN"/>
        </w:rPr>
        <w:t xml:space="preserve">                                       </w:t>
      </w:r>
    </w:p>
    <w:p w:rsidR="006B3299" w:rsidRDefault="006B3299" w:rsidP="0030519B">
      <w:pPr>
        <w:spacing w:after="120"/>
        <w:jc w:val="both"/>
        <w:rPr>
          <w:rFonts w:ascii="Arial" w:hAnsi="Arial" w:cs="Arial"/>
          <w:sz w:val="24"/>
          <w:szCs w:val="24"/>
          <w:lang w:val="mn-MN"/>
        </w:rPr>
      </w:pPr>
    </w:p>
    <w:p w:rsidR="00ED0FEF" w:rsidRDefault="0030519B" w:rsidP="0030519B">
      <w:pPr>
        <w:spacing w:after="1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ЗАХИРГАА, ХУУЛЬ ЗҮЙН ХЭЛТЭС</w:t>
      </w:r>
    </w:p>
    <w:sectPr w:rsidR="00ED0FEF" w:rsidSect="00EA3FC5">
      <w:headerReference w:type="default" r:id="rId9"/>
      <w:pgSz w:w="11907" w:h="16840" w:code="9"/>
      <w:pgMar w:top="1418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34" w:rsidRDefault="00775634" w:rsidP="008C21EB">
      <w:pPr>
        <w:spacing w:after="0" w:line="240" w:lineRule="auto"/>
      </w:pPr>
      <w:r>
        <w:separator/>
      </w:r>
    </w:p>
  </w:endnote>
  <w:endnote w:type="continuationSeparator" w:id="0">
    <w:p w:rsidR="00775634" w:rsidRDefault="00775634" w:rsidP="008C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34" w:rsidRDefault="00775634" w:rsidP="008C21EB">
      <w:pPr>
        <w:spacing w:after="0" w:line="240" w:lineRule="auto"/>
      </w:pPr>
      <w:r>
        <w:separator/>
      </w:r>
    </w:p>
  </w:footnote>
  <w:footnote w:type="continuationSeparator" w:id="0">
    <w:p w:rsidR="00775634" w:rsidRDefault="00775634" w:rsidP="008C2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2695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21EB" w:rsidRDefault="008C21E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6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21EB" w:rsidRDefault="008C21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41E59"/>
    <w:multiLevelType w:val="hybridMultilevel"/>
    <w:tmpl w:val="881AAF6C"/>
    <w:lvl w:ilvl="0" w:tplc="6ECE5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A57B3C"/>
    <w:multiLevelType w:val="hybridMultilevel"/>
    <w:tmpl w:val="613CC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9D"/>
    <w:rsid w:val="000152CB"/>
    <w:rsid w:val="00046E7E"/>
    <w:rsid w:val="00082AA0"/>
    <w:rsid w:val="00093BD3"/>
    <w:rsid w:val="0019452B"/>
    <w:rsid w:val="001B7F5B"/>
    <w:rsid w:val="00247B8F"/>
    <w:rsid w:val="0026068B"/>
    <w:rsid w:val="0027309C"/>
    <w:rsid w:val="002B45E2"/>
    <w:rsid w:val="002B7F93"/>
    <w:rsid w:val="002C26BC"/>
    <w:rsid w:val="002D5DA8"/>
    <w:rsid w:val="002F43AE"/>
    <w:rsid w:val="0030519B"/>
    <w:rsid w:val="00316510"/>
    <w:rsid w:val="0032627D"/>
    <w:rsid w:val="003479C0"/>
    <w:rsid w:val="003A27D2"/>
    <w:rsid w:val="003B7F25"/>
    <w:rsid w:val="004179D4"/>
    <w:rsid w:val="0043214A"/>
    <w:rsid w:val="00462F46"/>
    <w:rsid w:val="00482047"/>
    <w:rsid w:val="004A15F0"/>
    <w:rsid w:val="004A5842"/>
    <w:rsid w:val="004B2852"/>
    <w:rsid w:val="004E24B5"/>
    <w:rsid w:val="004E6422"/>
    <w:rsid w:val="00505E73"/>
    <w:rsid w:val="005260A2"/>
    <w:rsid w:val="005554F5"/>
    <w:rsid w:val="00561402"/>
    <w:rsid w:val="00561A7D"/>
    <w:rsid w:val="005D1C44"/>
    <w:rsid w:val="005F7B67"/>
    <w:rsid w:val="006246D0"/>
    <w:rsid w:val="006313B9"/>
    <w:rsid w:val="00670758"/>
    <w:rsid w:val="00680656"/>
    <w:rsid w:val="006B3299"/>
    <w:rsid w:val="006B3353"/>
    <w:rsid w:val="006C2CAA"/>
    <w:rsid w:val="006C54A0"/>
    <w:rsid w:val="007226B4"/>
    <w:rsid w:val="007269A7"/>
    <w:rsid w:val="00770A82"/>
    <w:rsid w:val="00775634"/>
    <w:rsid w:val="007876DB"/>
    <w:rsid w:val="008A03C5"/>
    <w:rsid w:val="008C21EB"/>
    <w:rsid w:val="008D24EE"/>
    <w:rsid w:val="008D5426"/>
    <w:rsid w:val="00905C9D"/>
    <w:rsid w:val="0092746F"/>
    <w:rsid w:val="009625A8"/>
    <w:rsid w:val="00976F2C"/>
    <w:rsid w:val="009877B3"/>
    <w:rsid w:val="009B0BD6"/>
    <w:rsid w:val="009B4FD4"/>
    <w:rsid w:val="009E686D"/>
    <w:rsid w:val="00A04D11"/>
    <w:rsid w:val="00A6019F"/>
    <w:rsid w:val="00AA70FC"/>
    <w:rsid w:val="00AB3DDC"/>
    <w:rsid w:val="00AE0E28"/>
    <w:rsid w:val="00AF2CED"/>
    <w:rsid w:val="00B422DC"/>
    <w:rsid w:val="00B510C2"/>
    <w:rsid w:val="00B72C01"/>
    <w:rsid w:val="00BC27F2"/>
    <w:rsid w:val="00BF6611"/>
    <w:rsid w:val="00BF6CE6"/>
    <w:rsid w:val="00C142A3"/>
    <w:rsid w:val="00C64C36"/>
    <w:rsid w:val="00C71811"/>
    <w:rsid w:val="00C93EAD"/>
    <w:rsid w:val="00CC32A5"/>
    <w:rsid w:val="00CD4D3A"/>
    <w:rsid w:val="00CF345A"/>
    <w:rsid w:val="00D066B7"/>
    <w:rsid w:val="00D52306"/>
    <w:rsid w:val="00D66D27"/>
    <w:rsid w:val="00D82D1C"/>
    <w:rsid w:val="00D8509F"/>
    <w:rsid w:val="00DA4663"/>
    <w:rsid w:val="00DB692E"/>
    <w:rsid w:val="00E039BF"/>
    <w:rsid w:val="00E161B4"/>
    <w:rsid w:val="00E32F5F"/>
    <w:rsid w:val="00E400AD"/>
    <w:rsid w:val="00E94030"/>
    <w:rsid w:val="00EA3FC5"/>
    <w:rsid w:val="00ED0FEF"/>
    <w:rsid w:val="00EE0F2D"/>
    <w:rsid w:val="00F27DAD"/>
    <w:rsid w:val="00F6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3D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1EB"/>
  </w:style>
  <w:style w:type="paragraph" w:styleId="Footer">
    <w:name w:val="footer"/>
    <w:basedOn w:val="Normal"/>
    <w:link w:val="FooterChar"/>
    <w:uiPriority w:val="99"/>
    <w:unhideWhenUsed/>
    <w:rsid w:val="008C2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3D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1EB"/>
  </w:style>
  <w:style w:type="paragraph" w:styleId="Footer">
    <w:name w:val="footer"/>
    <w:basedOn w:val="Normal"/>
    <w:link w:val="FooterChar"/>
    <w:uiPriority w:val="99"/>
    <w:unhideWhenUsed/>
    <w:rsid w:val="008C2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mn-MN" sz="1200"/>
              <a:t>Өргөдөл, гомдлын шийдвэрлэлтийн дүн </a:t>
            </a:r>
            <a:endParaRPr lang="en-US" sz="1200"/>
          </a:p>
        </c:rich>
      </c:tx>
      <c:layout>
        <c:manualLayout>
          <c:xMode val="edge"/>
          <c:yMode val="edge"/>
          <c:x val="0.12400650711131096"/>
          <c:y val="1.398125967750363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5079356833313797E-2"/>
          <c:y val="0.27768777946733714"/>
          <c:w val="0.3383175921484573"/>
          <c:h val="0.70261814787491905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dPt>
            <c:idx val="1"/>
            <c:bubble3D val="0"/>
            <c:explosion val="11"/>
          </c:dPt>
          <c:dPt>
            <c:idx val="2"/>
            <c:bubble3D val="0"/>
            <c:explosion val="11"/>
          </c:dPt>
          <c:dPt>
            <c:idx val="3"/>
            <c:bubble3D val="0"/>
            <c:explosion val="11"/>
          </c:dPt>
          <c:dLbls>
            <c:dLbl>
              <c:idx val="0"/>
              <c:layout>
                <c:manualLayout>
                  <c:x val="-6.9829731920310126E-2"/>
                  <c:y val="3.4924093719767971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; </c:separator>
            </c:dLbl>
            <c:dLbl>
              <c:idx val="1"/>
              <c:layout>
                <c:manualLayout>
                  <c:x val="-8.5648148148148154E-2"/>
                  <c:y val="-3.5743792994967098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; </c:separator>
            </c:dLbl>
            <c:dLbl>
              <c:idx val="2"/>
              <c:layout>
                <c:manualLayout>
                  <c:x val="-7.9404434124223613E-2"/>
                  <c:y val="-8.8206069097865561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; </c:separator>
            </c:dLbl>
            <c:txPr>
              <a:bodyPr/>
              <a:lstStyle/>
              <a:p>
                <a:pPr>
                  <a:defRPr sz="9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; </c:separator>
            <c:showLeaderLines val="1"/>
          </c:dLbls>
          <c:cat>
            <c:strRef>
              <c:f>Sheet1!$A$2:$A$5</c:f>
              <c:strCache>
                <c:ptCount val="4"/>
                <c:pt idx="0">
                  <c:v>Шийдвэрлэж хариу өгсөн (107)</c:v>
                </c:pt>
                <c:pt idx="1">
                  <c:v>Хүлээгдэж байгаа (4)</c:v>
                </c:pt>
                <c:pt idx="2">
                  <c:v>Бусад байгууллагад шилжүүлсэн (2)</c:v>
                </c:pt>
                <c:pt idx="3">
                  <c:v>Хариу өгөөгүй (19)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107</c:v>
                </c:pt>
                <c:pt idx="1">
                  <c:v>4</c:v>
                </c:pt>
                <c:pt idx="2">
                  <c:v>2</c:v>
                </c:pt>
                <c:pt idx="3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7957355377601651"/>
          <c:y val="0.37096047590628189"/>
          <c:w val="0.49400136610348855"/>
          <c:h val="0.47921825228800929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spPr>
    <a:ln w="3175">
      <a:solidFill>
        <a:schemeClr val="tx2">
          <a:lumMod val="60000"/>
          <a:lumOff val="40000"/>
        </a:schemeClr>
      </a:solidFill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Enkhchimeg Khurelee</dc:creator>
  <cp:lastModifiedBy>Enkhchimeg Khurelee</cp:lastModifiedBy>
  <cp:revision>73</cp:revision>
  <cp:lastPrinted>2017-11-17T09:06:00Z</cp:lastPrinted>
  <dcterms:created xsi:type="dcterms:W3CDTF">2017-11-15T08:00:00Z</dcterms:created>
  <dcterms:modified xsi:type="dcterms:W3CDTF">2017-11-21T05:37:00Z</dcterms:modified>
</cp:coreProperties>
</file>